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pacing w:val="16"/>
          <w:sz w:val="36"/>
          <w:szCs w:val="36"/>
        </w:rPr>
      </w:pPr>
      <w:r>
        <w:rPr>
          <w:rFonts w:hint="eastAsia" w:asciiTheme="minorEastAsia" w:hAnsiTheme="minorEastAsia" w:eastAsiaTheme="minorEastAsia"/>
          <w:b/>
          <w:spacing w:val="16"/>
          <w:sz w:val="36"/>
          <w:szCs w:val="36"/>
        </w:rPr>
        <w:t>关于</w:t>
      </w:r>
      <w:r>
        <w:rPr>
          <w:rFonts w:hint="eastAsia" w:asciiTheme="minorEastAsia" w:hAnsiTheme="minorEastAsia" w:eastAsiaTheme="minorEastAsia"/>
          <w:b/>
          <w:spacing w:val="16"/>
          <w:sz w:val="36"/>
          <w:szCs w:val="36"/>
          <w:lang w:val="en-US" w:eastAsia="zh-CN"/>
        </w:rPr>
        <w:t>2023年度</w:t>
      </w:r>
      <w:r>
        <w:rPr>
          <w:rFonts w:hint="eastAsia" w:asciiTheme="minorEastAsia" w:hAnsiTheme="minorEastAsia" w:eastAsiaTheme="minorEastAsia"/>
          <w:b/>
          <w:spacing w:val="16"/>
          <w:sz w:val="36"/>
          <w:szCs w:val="36"/>
        </w:rPr>
        <w:t>长宁区餐厨废弃</w:t>
      </w:r>
    </w:p>
    <w:p>
      <w:pPr>
        <w:jc w:val="center"/>
        <w:rPr>
          <w:sz w:val="36"/>
          <w:szCs w:val="36"/>
          <w:u w:val="thick"/>
        </w:rPr>
      </w:pPr>
      <w:r>
        <w:rPr>
          <w:rFonts w:hint="eastAsia" w:asciiTheme="minorEastAsia" w:hAnsiTheme="minorEastAsia" w:eastAsiaTheme="minorEastAsia"/>
          <w:b/>
          <w:spacing w:val="16"/>
          <w:sz w:val="36"/>
          <w:szCs w:val="36"/>
        </w:rPr>
        <w:t>油脂收运服务企业评议结果的通知</w:t>
      </w:r>
    </w:p>
    <w:p>
      <w:pPr>
        <w:rPr>
          <w:rFonts w:ascii="仿宋_GB2312" w:hAnsi="宋体" w:eastAsia="仿宋_GB2312" w:cs="宋体"/>
          <w:sz w:val="32"/>
          <w:szCs w:val="32"/>
          <w:lang w:val="zh-CN"/>
        </w:rPr>
      </w:pPr>
    </w:p>
    <w:p>
      <w:pPr>
        <w:rPr>
          <w:rFonts w:ascii="仿宋_GB2312" w:hAnsi="宋体" w:eastAsia="仿宋_GB2312" w:cs="宋体"/>
          <w:sz w:val="28"/>
          <w:szCs w:val="28"/>
          <w:lang w:val="zh-CN"/>
        </w:rPr>
      </w:pPr>
      <w:r>
        <w:rPr>
          <w:rFonts w:hint="eastAsia" w:ascii="仿宋_GB2312" w:hAnsi="宋体" w:eastAsia="仿宋_GB2312" w:cs="宋体"/>
          <w:sz w:val="28"/>
          <w:szCs w:val="28"/>
          <w:lang w:val="zh-CN"/>
        </w:rPr>
        <w:t>上海江军环保科技有限公司：</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 xml:space="preserve"> </w:t>
      </w:r>
      <w:r>
        <w:rPr>
          <w:rFonts w:ascii="仿宋_GB2312" w:hAnsi="宋体" w:eastAsia="仿宋_GB2312" w:cs="宋体"/>
          <w:sz w:val="28"/>
          <w:szCs w:val="28"/>
          <w:lang w:val="zh-CN"/>
        </w:rPr>
        <w:t>为</w:t>
      </w:r>
      <w:r>
        <w:rPr>
          <w:rFonts w:hint="eastAsia" w:ascii="仿宋_GB2312" w:hAnsi="宋体" w:eastAsia="仿宋_GB2312" w:cs="宋体"/>
          <w:sz w:val="28"/>
          <w:szCs w:val="28"/>
          <w:lang w:val="zh-CN"/>
        </w:rPr>
        <w:t>加强本区餐厨废弃油脂收运管理，推进对餐厨废弃油脂收运企业的有效监管，确保本区餐厨废弃油脂依法收运，营建规范有序的餐厨废弃油脂收运市场运行环境。2</w:t>
      </w:r>
      <w:r>
        <w:rPr>
          <w:rFonts w:ascii="仿宋_GB2312" w:hAnsi="宋体" w:eastAsia="仿宋_GB2312" w:cs="宋体"/>
          <w:sz w:val="28"/>
          <w:szCs w:val="28"/>
          <w:lang w:val="zh-CN"/>
        </w:rPr>
        <w:t>02</w:t>
      </w:r>
      <w:r>
        <w:rPr>
          <w:rFonts w:hint="eastAsia" w:ascii="仿宋_GB2312" w:hAnsi="宋体" w:eastAsia="仿宋_GB2312" w:cs="宋体"/>
          <w:sz w:val="28"/>
          <w:szCs w:val="28"/>
          <w:lang w:val="en-US" w:eastAsia="zh-CN"/>
        </w:rPr>
        <w:t>3</w:t>
      </w:r>
      <w:r>
        <w:rPr>
          <w:rFonts w:ascii="仿宋_GB2312" w:hAnsi="宋体" w:eastAsia="仿宋_GB2312" w:cs="宋体"/>
          <w:sz w:val="28"/>
          <w:szCs w:val="28"/>
          <w:lang w:val="zh-CN"/>
        </w:rPr>
        <w:t>年</w:t>
      </w:r>
      <w:r>
        <w:rPr>
          <w:rFonts w:hint="eastAsia" w:ascii="仿宋_GB2312" w:hAnsi="宋体" w:eastAsia="仿宋_GB2312" w:cs="宋体"/>
          <w:sz w:val="28"/>
          <w:szCs w:val="28"/>
          <w:lang w:val="zh-CN"/>
        </w:rPr>
        <w:t>1</w:t>
      </w: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lang w:val="zh-CN"/>
        </w:rPr>
        <w:t>月</w:t>
      </w:r>
      <w:r>
        <w:rPr>
          <w:rFonts w:hint="eastAsia" w:ascii="仿宋_GB2312" w:hAnsi="宋体" w:eastAsia="仿宋_GB2312" w:cs="宋体"/>
          <w:sz w:val="28"/>
          <w:szCs w:val="28"/>
          <w:lang w:val="en-US" w:eastAsia="zh-CN"/>
        </w:rPr>
        <w:t>1</w:t>
      </w:r>
      <w:r>
        <w:rPr>
          <w:rFonts w:ascii="仿宋_GB2312" w:hAnsi="宋体" w:eastAsia="仿宋_GB2312" w:cs="宋体"/>
          <w:sz w:val="28"/>
          <w:szCs w:val="28"/>
          <w:lang w:val="zh-CN"/>
        </w:rPr>
        <w:t>日下午</w:t>
      </w:r>
      <w:r>
        <w:rPr>
          <w:rFonts w:hint="eastAsia" w:ascii="仿宋_GB2312" w:hAnsi="宋体" w:eastAsia="仿宋_GB2312" w:cs="宋体"/>
          <w:sz w:val="28"/>
          <w:szCs w:val="28"/>
          <w:lang w:val="zh-CN"/>
        </w:rPr>
        <w:t>，区绿化市容局召集相关管理部门对长宁区餐厨废弃油脂收运服务企业进行了联合评议，现将评议结果予以通告。</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一、</w:t>
      </w:r>
      <w:r>
        <w:rPr>
          <w:rFonts w:ascii="仿宋_GB2312" w:hAnsi="宋体" w:eastAsia="仿宋_GB2312" w:cs="宋体"/>
          <w:sz w:val="28"/>
          <w:szCs w:val="28"/>
          <w:lang w:val="zh-CN"/>
        </w:rPr>
        <w:t>评议单位</w:t>
      </w:r>
    </w:p>
    <w:p>
      <w:pPr>
        <w:ind w:firstLine="420" w:firstLineChars="150"/>
        <w:rPr>
          <w:rFonts w:ascii="仿宋_GB2312" w:hAnsi="宋体" w:eastAsia="仿宋_GB2312" w:cs="宋体"/>
          <w:sz w:val="28"/>
          <w:szCs w:val="28"/>
          <w:lang w:val="zh-CN"/>
        </w:rPr>
      </w:pPr>
      <w:r>
        <w:rPr>
          <w:rFonts w:ascii="仿宋_GB2312" w:hAnsi="宋体" w:eastAsia="仿宋_GB2312" w:cs="宋体"/>
          <w:sz w:val="28"/>
          <w:szCs w:val="28"/>
          <w:lang w:val="zh-CN"/>
        </w:rPr>
        <w:t>区绿化和市容管理局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区市场监督和管理局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区城市管理行政执法局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区生态环境局</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二、评议结果</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3969"/>
        <w:gridCol w:w="1701"/>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序号</w:t>
            </w:r>
          </w:p>
        </w:tc>
        <w:tc>
          <w:tcPr>
            <w:tcW w:w="3969"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收运服务企业名称</w:t>
            </w:r>
          </w:p>
        </w:tc>
        <w:tc>
          <w:tcPr>
            <w:tcW w:w="1701" w:type="dxa"/>
          </w:tcPr>
          <w:p>
            <w:pPr>
              <w:jc w:val="center"/>
              <w:rPr>
                <w:rFonts w:ascii="仿宋_GB2312" w:hAnsi="宋体" w:eastAsia="仿宋_GB2312" w:cs="宋体"/>
                <w:sz w:val="28"/>
                <w:szCs w:val="28"/>
                <w:lang w:val="zh-CN"/>
              </w:rPr>
            </w:pPr>
            <w:r>
              <w:rPr>
                <w:rFonts w:ascii="仿宋_GB2312" w:hAnsi="宋体" w:eastAsia="仿宋_GB2312" w:cs="宋体"/>
                <w:sz w:val="28"/>
                <w:szCs w:val="28"/>
                <w:lang w:val="zh-CN"/>
              </w:rPr>
              <w:t>评议得分</w:t>
            </w:r>
          </w:p>
        </w:tc>
        <w:tc>
          <w:tcPr>
            <w:tcW w:w="1610"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评议等级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1</w:t>
            </w:r>
          </w:p>
        </w:tc>
        <w:tc>
          <w:tcPr>
            <w:tcW w:w="3969"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上海江军环保科技有限公司</w:t>
            </w:r>
          </w:p>
        </w:tc>
        <w:tc>
          <w:tcPr>
            <w:tcW w:w="1701" w:type="dxa"/>
          </w:tcPr>
          <w:p>
            <w:pPr>
              <w:jc w:val="center"/>
              <w:rPr>
                <w:rFonts w:hint="default" w:ascii="仿宋_GB2312" w:hAnsi="宋体" w:eastAsia="仿宋_GB2312" w:cs="宋体"/>
                <w:sz w:val="28"/>
                <w:szCs w:val="28"/>
                <w:lang w:val="en-US" w:eastAsia="zh-CN"/>
              </w:rPr>
            </w:pPr>
            <w:r>
              <w:rPr>
                <w:rFonts w:ascii="仿宋_GB2312" w:hAnsi="宋体" w:eastAsia="仿宋_GB2312" w:cs="宋体"/>
                <w:sz w:val="28"/>
                <w:szCs w:val="28"/>
              </w:rPr>
              <w:t>9</w:t>
            </w:r>
            <w:r>
              <w:rPr>
                <w:rFonts w:hint="eastAsia" w:ascii="仿宋_GB2312" w:hAnsi="宋体" w:eastAsia="仿宋_GB2312" w:cs="宋体"/>
                <w:sz w:val="28"/>
                <w:szCs w:val="28"/>
                <w:lang w:val="en-US" w:eastAsia="zh-CN"/>
              </w:rPr>
              <w:t>4.375</w:t>
            </w:r>
          </w:p>
        </w:tc>
        <w:tc>
          <w:tcPr>
            <w:tcW w:w="1610" w:type="dxa"/>
          </w:tcPr>
          <w:p>
            <w:pPr>
              <w:jc w:val="center"/>
              <w:rPr>
                <w:rFonts w:hint="eastAsia" w:ascii="仿宋_GB2312" w:hAnsi="宋体" w:eastAsia="仿宋_GB2312" w:cs="宋体"/>
                <w:sz w:val="28"/>
                <w:szCs w:val="28"/>
                <w:lang w:val="zh-CN" w:eastAsia="zh-CN"/>
              </w:rPr>
            </w:pPr>
            <w:r>
              <w:rPr>
                <w:rFonts w:hint="eastAsia" w:ascii="仿宋_GB2312" w:hAnsi="宋体" w:eastAsia="仿宋_GB2312" w:cs="宋体"/>
                <w:sz w:val="28"/>
                <w:szCs w:val="28"/>
                <w:lang w:val="en-US" w:eastAsia="zh-CN"/>
              </w:rPr>
              <w:t>良好</w:t>
            </w:r>
          </w:p>
        </w:tc>
      </w:tr>
    </w:tbl>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三、评议意见</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1、加强日常收运、处置管理工作，建立健全公司管理制度并有效执行，遵守与产生单位签订的废弃油脂服务协议，规范有序提供收运服务，严格执行收运作业“四统一”要求。</w:t>
      </w:r>
    </w:p>
    <w:p>
      <w:pPr>
        <w:ind w:firstLine="420" w:firstLineChars="150"/>
        <w:rPr>
          <w:rFonts w:ascii="仿宋_GB2312" w:hAnsi="宋体" w:eastAsia="仿宋_GB2312" w:cs="宋体"/>
          <w:sz w:val="28"/>
          <w:szCs w:val="28"/>
          <w:lang w:val="zh-CN"/>
        </w:rPr>
      </w:pPr>
      <w:r>
        <w:rPr>
          <w:rFonts w:ascii="仿宋_GB2312" w:hAnsi="宋体" w:eastAsia="仿宋_GB2312" w:cs="宋体"/>
          <w:sz w:val="28"/>
          <w:szCs w:val="28"/>
          <w:lang w:val="zh-CN"/>
        </w:rPr>
        <w:t>2</w:t>
      </w:r>
      <w:r>
        <w:rPr>
          <w:rFonts w:hint="eastAsia" w:ascii="仿宋_GB2312" w:hAnsi="宋体" w:eastAsia="仿宋_GB2312" w:cs="宋体"/>
          <w:sz w:val="28"/>
          <w:szCs w:val="28"/>
          <w:lang w:val="zh-CN"/>
        </w:rPr>
        <w:t>、落实企业管理要求，规范缴纳员工社保，及时、准确统计并上报各类台账报表和动态信息。</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3、配合管理部门及时反馈产生单位的新增、变更、关闭及申报签约情况和管理部门要求的其他协同配合工作。</w:t>
      </w:r>
    </w:p>
    <w:p>
      <w:pPr>
        <w:ind w:firstLine="420" w:firstLineChars="150"/>
        <w:rPr>
          <w:rFonts w:ascii="仿宋_GB2312" w:hAnsi="宋体" w:eastAsia="仿宋_GB2312" w:cs="宋体"/>
          <w:sz w:val="28"/>
          <w:szCs w:val="28"/>
          <w:lang w:val="zh-CN"/>
        </w:rPr>
      </w:pPr>
      <w:r>
        <w:rPr>
          <w:rFonts w:ascii="仿宋_GB2312" w:hAnsi="宋体" w:eastAsia="仿宋_GB2312" w:cs="宋体"/>
          <w:sz w:val="28"/>
          <w:szCs w:val="28"/>
          <w:lang w:val="zh-CN"/>
        </w:rPr>
        <w:t>4</w:t>
      </w:r>
      <w:r>
        <w:rPr>
          <w:rFonts w:hint="eastAsia" w:ascii="仿宋_GB2312" w:hAnsi="宋体" w:eastAsia="仿宋_GB2312" w:cs="宋体"/>
          <w:sz w:val="28"/>
          <w:szCs w:val="28"/>
          <w:lang w:val="zh-CN"/>
        </w:rPr>
        <w:t>、落实初加工场所环境污染控制措施，废水、废渣、废渣按环保要求达标排放或规范处置。</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5、切实配合做好“一网统管”数据接入工作。</w:t>
      </w:r>
    </w:p>
    <w:p>
      <w:pPr>
        <w:ind w:firstLine="420" w:firstLineChars="150"/>
        <w:rPr>
          <w:rFonts w:ascii="仿宋_GB2312" w:hAnsi="宋体" w:eastAsia="仿宋_GB2312" w:cs="宋体"/>
          <w:sz w:val="28"/>
          <w:szCs w:val="28"/>
          <w:lang w:val="zh-CN"/>
        </w:rPr>
      </w:pPr>
    </w:p>
    <w:p>
      <w:pPr>
        <w:jc w:val="right"/>
        <w:rPr>
          <w:rFonts w:ascii="仿宋_GB2312" w:hAnsi="宋体" w:eastAsia="仿宋_GB2312" w:cs="宋体"/>
          <w:sz w:val="32"/>
          <w:szCs w:val="32"/>
          <w:lang w:val="zh-CN"/>
        </w:rPr>
      </w:pPr>
    </w:p>
    <w:p>
      <w:pPr>
        <w:ind w:firstLine="420" w:firstLineChars="150"/>
        <w:rPr>
          <w:rFonts w:ascii="仿宋_GB2312" w:hAnsi="宋体" w:eastAsia="仿宋_GB2312" w:cs="宋体"/>
          <w:sz w:val="28"/>
          <w:szCs w:val="28"/>
          <w:lang w:val="zh-CN"/>
        </w:rPr>
      </w:pPr>
    </w:p>
    <w:p>
      <w:pPr>
        <w:ind w:firstLine="420" w:firstLineChars="150"/>
        <w:jc w:val="right"/>
        <w:rPr>
          <w:rFonts w:ascii="仿宋_GB2312" w:hAnsi="宋体" w:eastAsia="仿宋_GB2312" w:cs="宋体"/>
          <w:sz w:val="28"/>
          <w:szCs w:val="28"/>
          <w:lang w:val="zh-CN"/>
        </w:rPr>
      </w:pPr>
      <w:r>
        <w:rPr>
          <w:rFonts w:hint="eastAsia" w:ascii="仿宋_GB2312" w:hAnsi="宋体" w:eastAsia="仿宋_GB2312" w:cs="宋体"/>
          <w:sz w:val="28"/>
          <w:szCs w:val="28"/>
          <w:lang w:val="zh-CN"/>
        </w:rPr>
        <w:t>长宁区绿化和市容管理局</w:t>
      </w:r>
    </w:p>
    <w:p>
      <w:pPr>
        <w:ind w:firstLine="420" w:firstLineChars="150"/>
        <w:jc w:val="right"/>
        <w:rPr>
          <w:rFonts w:ascii="仿宋_GB2312" w:hAnsi="宋体" w:eastAsia="仿宋_GB2312" w:cs="宋体"/>
          <w:sz w:val="28"/>
          <w:szCs w:val="28"/>
          <w:lang w:val="zh-CN"/>
        </w:rPr>
      </w:pPr>
      <w:r>
        <w:rPr>
          <w:rFonts w:hint="eastAsia" w:ascii="仿宋_GB2312" w:hAnsi="宋体" w:eastAsia="仿宋_GB2312" w:cs="宋体"/>
          <w:sz w:val="28"/>
          <w:szCs w:val="28"/>
          <w:lang w:val="zh-CN"/>
        </w:rPr>
        <w:t xml:space="preserve">                              202</w:t>
      </w:r>
      <w:r>
        <w:rPr>
          <w:rFonts w:hint="eastAsia" w:ascii="仿宋_GB2312" w:hAnsi="宋体" w:eastAsia="仿宋_GB2312" w:cs="宋体"/>
          <w:sz w:val="28"/>
          <w:szCs w:val="28"/>
          <w:lang w:val="en-US" w:eastAsia="zh-CN"/>
        </w:rPr>
        <w:t>3</w:t>
      </w:r>
      <w:r>
        <w:rPr>
          <w:rFonts w:hint="eastAsia" w:ascii="仿宋_GB2312" w:hAnsi="宋体" w:eastAsia="仿宋_GB2312" w:cs="宋体"/>
          <w:sz w:val="28"/>
          <w:szCs w:val="28"/>
          <w:lang w:val="zh-CN"/>
        </w:rPr>
        <w:t>年</w:t>
      </w:r>
      <w:r>
        <w:rPr>
          <w:rFonts w:ascii="仿宋_GB2312" w:hAnsi="宋体" w:eastAsia="仿宋_GB2312" w:cs="宋体"/>
          <w:sz w:val="28"/>
          <w:szCs w:val="28"/>
          <w:lang w:val="zh-CN"/>
        </w:rPr>
        <w:t>1</w:t>
      </w: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lang w:val="zh-CN"/>
        </w:rPr>
        <w:t>月</w:t>
      </w:r>
      <w:r>
        <w:rPr>
          <w:rFonts w:hint="eastAsia" w:ascii="仿宋_GB2312" w:hAnsi="宋体" w:eastAsia="仿宋_GB2312" w:cs="宋体"/>
          <w:sz w:val="28"/>
          <w:szCs w:val="28"/>
          <w:lang w:val="en-US" w:eastAsia="zh-CN"/>
        </w:rPr>
        <w:t>4</w:t>
      </w:r>
      <w:bookmarkStart w:id="0" w:name="_GoBack"/>
      <w:bookmarkEnd w:id="0"/>
      <w:r>
        <w:rPr>
          <w:rFonts w:hint="eastAsia" w:ascii="仿宋_GB2312" w:hAnsi="宋体" w:eastAsia="仿宋_GB2312" w:cs="宋体"/>
          <w:sz w:val="28"/>
          <w:szCs w:val="28"/>
          <w:lang w:val="zh-CN"/>
        </w:rPr>
        <w:t>日</w:t>
      </w:r>
    </w:p>
    <w:p>
      <w:pPr>
        <w:rPr>
          <w:rFonts w:ascii="宋体" w:hAnsi="宋体" w:cs="宋体"/>
          <w:b/>
          <w:sz w:val="28"/>
          <w:szCs w:val="28"/>
          <w:lang w:val="zh-CN"/>
        </w:rPr>
      </w:pPr>
    </w:p>
    <w:p>
      <w:pPr>
        <w:jc w:val="left"/>
        <w:rPr>
          <w:rFonts w:ascii="仿宋_GB2312" w:hAnsi="宋体" w:eastAsia="仿宋_GB2312" w:cs="宋体"/>
          <w:b/>
          <w:sz w:val="28"/>
          <w:szCs w:val="28"/>
          <w:lang w:val="zh-CN"/>
        </w:rPr>
      </w:pPr>
      <w:r>
        <w:rPr>
          <w:rFonts w:ascii="仿宋_GB2312" w:hAnsi="宋体" w:eastAsia="仿宋_GB2312" w:cs="宋体"/>
          <w:b/>
          <w:sz w:val="28"/>
          <w:szCs w:val="28"/>
          <w:lang w:val="zh-CN"/>
        </w:rPr>
        <w:t>抄送</w:t>
      </w:r>
      <w:r>
        <w:rPr>
          <w:rFonts w:hint="eastAsia" w:ascii="仿宋_GB2312" w:hAnsi="宋体" w:eastAsia="仿宋_GB2312" w:cs="宋体"/>
          <w:b/>
          <w:sz w:val="28"/>
          <w:szCs w:val="28"/>
          <w:lang w:val="zh-CN"/>
        </w:rPr>
        <w:t>：市分类中心，区市场监管局，</w:t>
      </w:r>
      <w:r>
        <w:rPr>
          <w:rFonts w:ascii="仿宋_GB2312" w:hAnsi="宋体" w:eastAsia="仿宋_GB2312" w:cs="宋体"/>
          <w:b/>
          <w:sz w:val="28"/>
          <w:szCs w:val="28"/>
          <w:lang w:val="zh-CN"/>
        </w:rPr>
        <w:t>区生态环境局</w:t>
      </w:r>
      <w:r>
        <w:rPr>
          <w:rFonts w:hint="eastAsia" w:ascii="仿宋_GB2312" w:hAnsi="宋体" w:eastAsia="仿宋_GB2312" w:cs="宋体"/>
          <w:b/>
          <w:sz w:val="28"/>
          <w:szCs w:val="28"/>
          <w:lang w:val="zh-CN"/>
        </w:rPr>
        <w:t>，</w:t>
      </w:r>
      <w:r>
        <w:rPr>
          <w:rFonts w:ascii="仿宋_GB2312" w:hAnsi="宋体" w:eastAsia="仿宋_GB2312" w:cs="宋体"/>
          <w:b/>
          <w:sz w:val="28"/>
          <w:szCs w:val="28"/>
          <w:lang w:val="zh-CN"/>
        </w:rPr>
        <w:t>区城管执法局</w:t>
      </w:r>
    </w:p>
    <w:p>
      <w:pPr>
        <w:jc w:val="left"/>
        <w:rPr>
          <w:rFonts w:ascii="仿宋_GB2312" w:hAnsi="宋体" w:eastAsia="仿宋_GB2312" w:cs="宋体"/>
          <w:b/>
          <w:sz w:val="28"/>
          <w:szCs w:val="28"/>
          <w:lang w:val="zh-CN"/>
        </w:rPr>
      </w:pPr>
      <w:r>
        <w:rPr>
          <w:rFonts w:hint="eastAsia" w:ascii="仿宋_GB2312" w:hAnsi="宋体" w:eastAsia="仿宋_GB2312" w:cs="宋体"/>
          <w:b/>
          <w:sz w:val="28"/>
          <w:szCs w:val="28"/>
          <w:lang w:val="zh-CN"/>
        </w:rPr>
        <w:t>区废管所</w:t>
      </w:r>
    </w:p>
    <w:p>
      <w:pPr>
        <w:jc w:val="left"/>
        <w:rPr>
          <w:rFonts w:ascii="仿宋_GB2312" w:hAnsi="宋体" w:eastAsia="仿宋_GB2312" w:cs="宋体"/>
          <w:b/>
          <w:sz w:val="28"/>
          <w:szCs w:val="28"/>
          <w:lang w:val="zh-CN"/>
        </w:rPr>
      </w:pPr>
      <w:r>
        <w:rPr>
          <w:rFonts w:ascii="仿宋_GB2312" w:hAnsi="宋体" w:eastAsia="仿宋_GB2312" w:cs="宋体"/>
          <w:b/>
          <w:sz w:val="28"/>
          <w:szCs w:val="28"/>
          <w:lang w:val="zh-CN"/>
        </w:rPr>
        <w:t>印六份</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k2ZGNhYTZiM2U1YzM4ZTg3Njc2ZTRmNGY5NTg1ZmEifQ=="/>
  </w:docVars>
  <w:rsids>
    <w:rsidRoot w:val="00866CAE"/>
    <w:rsid w:val="00014AC1"/>
    <w:rsid w:val="00022358"/>
    <w:rsid w:val="00076395"/>
    <w:rsid w:val="000A16C3"/>
    <w:rsid w:val="000C250A"/>
    <w:rsid w:val="0013416A"/>
    <w:rsid w:val="00155737"/>
    <w:rsid w:val="00172CD8"/>
    <w:rsid w:val="001739FE"/>
    <w:rsid w:val="001A01C2"/>
    <w:rsid w:val="001F2A7F"/>
    <w:rsid w:val="002A4215"/>
    <w:rsid w:val="002E0468"/>
    <w:rsid w:val="00320BF1"/>
    <w:rsid w:val="00354687"/>
    <w:rsid w:val="00377C95"/>
    <w:rsid w:val="003B4327"/>
    <w:rsid w:val="003D0B8D"/>
    <w:rsid w:val="004D7225"/>
    <w:rsid w:val="005222BE"/>
    <w:rsid w:val="005850A5"/>
    <w:rsid w:val="0066496E"/>
    <w:rsid w:val="006955D4"/>
    <w:rsid w:val="006D5DFB"/>
    <w:rsid w:val="00707982"/>
    <w:rsid w:val="0074204E"/>
    <w:rsid w:val="00776AF7"/>
    <w:rsid w:val="007852B5"/>
    <w:rsid w:val="007B58B0"/>
    <w:rsid w:val="007E0442"/>
    <w:rsid w:val="00826F3B"/>
    <w:rsid w:val="0084129F"/>
    <w:rsid w:val="00866CAE"/>
    <w:rsid w:val="00897605"/>
    <w:rsid w:val="008C4EC9"/>
    <w:rsid w:val="008F1C01"/>
    <w:rsid w:val="00983949"/>
    <w:rsid w:val="009A1100"/>
    <w:rsid w:val="009C061C"/>
    <w:rsid w:val="00A21CDF"/>
    <w:rsid w:val="00A25176"/>
    <w:rsid w:val="00A25528"/>
    <w:rsid w:val="00A80739"/>
    <w:rsid w:val="00AD2CD4"/>
    <w:rsid w:val="00AD5A00"/>
    <w:rsid w:val="00B16D19"/>
    <w:rsid w:val="00BE04BF"/>
    <w:rsid w:val="00C876D0"/>
    <w:rsid w:val="00D00AE9"/>
    <w:rsid w:val="00D33B80"/>
    <w:rsid w:val="00DD10D4"/>
    <w:rsid w:val="00E91F78"/>
    <w:rsid w:val="00EA1A97"/>
    <w:rsid w:val="00EC52DB"/>
    <w:rsid w:val="00F102D1"/>
    <w:rsid w:val="00F22204"/>
    <w:rsid w:val="00F642DA"/>
    <w:rsid w:val="00F7321D"/>
    <w:rsid w:val="00FD28FC"/>
    <w:rsid w:val="119B2213"/>
    <w:rsid w:val="47951B7E"/>
    <w:rsid w:val="598F587E"/>
    <w:rsid w:val="5E6D14E2"/>
    <w:rsid w:val="66F8265E"/>
    <w:rsid w:val="7A1A2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Times New Roman" w:hAnsi="Times New Roman" w:eastAsia="宋体" w:cs="Times New Roman"/>
      <w:sz w:val="18"/>
      <w:szCs w:val="18"/>
    </w:rPr>
  </w:style>
  <w:style w:type="character" w:customStyle="1" w:styleId="8">
    <w:name w:val="页脚 字符"/>
    <w:basedOn w:val="6"/>
    <w:link w:val="2"/>
    <w:qFormat/>
    <w:uiPriority w:val="99"/>
    <w:rPr>
      <w:rFonts w:ascii="Times New Roman" w:hAnsi="Times New Roman" w:eastAsia="宋体" w:cs="Times New Roman"/>
      <w:sz w:val="18"/>
      <w:szCs w:val="18"/>
    </w:rPr>
  </w:style>
  <w:style w:type="paragraph" w:customStyle="1" w:styleId="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5540AC-5F7C-44F9-AE32-E54F7B339E3A}">
  <ds:schemaRefs/>
</ds:datastoreItem>
</file>

<file path=docProps/app.xml><?xml version="1.0" encoding="utf-8"?>
<Properties xmlns="http://schemas.openxmlformats.org/officeDocument/2006/extended-properties" xmlns:vt="http://schemas.openxmlformats.org/officeDocument/2006/docPropsVTypes">
  <Template>Normal</Template>
  <Pages>2</Pages>
  <Words>543</Words>
  <Characters>554</Characters>
  <Lines>4</Lines>
  <Paragraphs>1</Paragraphs>
  <TotalTime>2</TotalTime>
  <ScaleCrop>false</ScaleCrop>
  <LinksUpToDate>false</LinksUpToDate>
  <CharactersWithSpaces>585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2020-03-18T03:41:00Z</dcterms:created>
  <dc:creator>凌丽</dc:creator>
  <cp:lastModifiedBy>mr.卜卜</cp:lastModifiedBy>
  <dcterms:modified xsi:type="dcterms:W3CDTF">2023-12-18T03:01:17Z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0F92753A7801484C806095D15BCA068C</vt:lpwstr>
  </property>
</Properties>
</file>